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506D9" w14:textId="77777777" w:rsidR="00C823CC" w:rsidRDefault="00FB77C1" w:rsidP="00C823CC">
      <w:pPr>
        <w:jc w:val="center"/>
        <w:rPr>
          <w:rFonts w:ascii="KG Second Chances Sketch" w:hAnsi="KG Second Chances Sketch" w:cs="Open Sans"/>
          <w:color w:val="85BA41"/>
          <w:sz w:val="40"/>
          <w:szCs w:val="40"/>
        </w:rPr>
      </w:pPr>
      <w:r w:rsidRPr="00C823CC">
        <w:rPr>
          <w:rFonts w:ascii="KG Second Chances Sketch" w:hAnsi="KG Second Chances Sketch" w:cs="Open Sans"/>
          <w:color w:val="85BA41"/>
          <w:sz w:val="40"/>
          <w:szCs w:val="40"/>
        </w:rPr>
        <w:t>School Leadership Activity:</w:t>
      </w:r>
    </w:p>
    <w:p w14:paraId="652E389D" w14:textId="7FB7D17E" w:rsidR="00BF6841" w:rsidRPr="00C823CC" w:rsidRDefault="00FB77C1" w:rsidP="00C823CC">
      <w:pPr>
        <w:jc w:val="center"/>
        <w:rPr>
          <w:rFonts w:ascii="KG Second Chances Sketch" w:hAnsi="KG Second Chances Sketch" w:cs="Open Sans"/>
          <w:color w:val="85BA41"/>
          <w:sz w:val="40"/>
          <w:szCs w:val="40"/>
        </w:rPr>
      </w:pPr>
      <w:r w:rsidRPr="00C823CC">
        <w:rPr>
          <w:rFonts w:ascii="KG Second Chances Sketch" w:hAnsi="KG Second Chances Sketch" w:cs="Open Sans"/>
          <w:color w:val="85BA41"/>
          <w:sz w:val="40"/>
          <w:szCs w:val="40"/>
        </w:rPr>
        <w:t xml:space="preserve">SEF Exercise Autumn Term </w:t>
      </w:r>
      <w:r w:rsidR="00C823CC">
        <w:rPr>
          <w:rFonts w:ascii="KG Second Chances Sketch" w:hAnsi="KG Second Chances Sketch" w:cs="Open Sans"/>
          <w:color w:val="85BA41"/>
          <w:sz w:val="40"/>
          <w:szCs w:val="40"/>
        </w:rPr>
        <w:t xml:space="preserve">– </w:t>
      </w:r>
      <w:r w:rsidR="00BF6841" w:rsidRPr="00C823CC">
        <w:rPr>
          <w:rFonts w:ascii="KG Second Chances Sketch" w:hAnsi="KG Second Chances Sketch" w:cs="Open Sans"/>
          <w:color w:val="85BA41"/>
          <w:sz w:val="40"/>
          <w:szCs w:val="40"/>
        </w:rPr>
        <w:t>External exam results evaluation</w:t>
      </w:r>
    </w:p>
    <w:p w14:paraId="3C9ACD62" w14:textId="77777777" w:rsidR="000D231C" w:rsidRPr="00C823CC" w:rsidRDefault="000D231C" w:rsidP="00FB77C1">
      <w:pPr>
        <w:rPr>
          <w:rFonts w:ascii="Open Sans" w:hAnsi="Open Sans" w:cs="Open Sans"/>
          <w:sz w:val="22"/>
          <w:szCs w:val="22"/>
        </w:rPr>
      </w:pPr>
    </w:p>
    <w:p w14:paraId="4827BC2E" w14:textId="2209E6F2" w:rsidR="00624CC0" w:rsidRPr="00C823CC" w:rsidRDefault="00624CC0" w:rsidP="00FB77C1">
      <w:pPr>
        <w:rPr>
          <w:rFonts w:ascii="Open Sans" w:hAnsi="Open Sans" w:cs="Open Sans"/>
          <w:sz w:val="22"/>
          <w:szCs w:val="22"/>
        </w:rPr>
      </w:pPr>
      <w:r w:rsidRPr="00C823CC">
        <w:rPr>
          <w:rFonts w:ascii="Open Sans" w:hAnsi="Open Sans" w:cs="Open Sans"/>
          <w:sz w:val="22"/>
          <w:szCs w:val="22"/>
        </w:rPr>
        <w:t xml:space="preserve">The beginning of the Autumn Term is when most schools will feel it appropriate to evaluate examination results. Below are some questions which you might ask yourselves </w:t>
      </w:r>
      <w:proofErr w:type="gramStart"/>
      <w:r w:rsidRPr="00C823CC">
        <w:rPr>
          <w:rFonts w:ascii="Open Sans" w:hAnsi="Open Sans" w:cs="Open Sans"/>
          <w:sz w:val="22"/>
          <w:szCs w:val="22"/>
        </w:rPr>
        <w:t>in order to</w:t>
      </w:r>
      <w:proofErr w:type="gramEnd"/>
      <w:r w:rsidRPr="00C823CC">
        <w:rPr>
          <w:rFonts w:ascii="Open Sans" w:hAnsi="Open Sans" w:cs="Open Sans"/>
          <w:sz w:val="22"/>
          <w:szCs w:val="22"/>
        </w:rPr>
        <w:t xml:space="preserve"> reflect on progress and plan for improvements in the future.</w:t>
      </w:r>
      <w:r w:rsidR="00911F4B" w:rsidRPr="00C823CC">
        <w:rPr>
          <w:rFonts w:ascii="Open Sans" w:hAnsi="Open Sans" w:cs="Open Sans"/>
          <w:sz w:val="22"/>
          <w:szCs w:val="22"/>
        </w:rPr>
        <w:t xml:space="preserve"> </w:t>
      </w:r>
    </w:p>
    <w:p w14:paraId="42537632" w14:textId="77777777" w:rsidR="00911F4B" w:rsidRPr="00C823CC" w:rsidRDefault="00911F4B" w:rsidP="00FB77C1">
      <w:pPr>
        <w:rPr>
          <w:rFonts w:ascii="Open Sans" w:hAnsi="Open Sans" w:cs="Open Sans"/>
          <w:sz w:val="22"/>
          <w:szCs w:val="22"/>
        </w:rPr>
      </w:pPr>
    </w:p>
    <w:p w14:paraId="7045CCCA" w14:textId="49ECD69E" w:rsidR="002F1150" w:rsidRPr="00C823CC" w:rsidRDefault="002F1150" w:rsidP="00FB77C1">
      <w:pPr>
        <w:rPr>
          <w:rFonts w:ascii="Open Sans" w:hAnsi="Open Sans" w:cs="Open Sans"/>
          <w:sz w:val="22"/>
          <w:szCs w:val="22"/>
        </w:rPr>
      </w:pPr>
      <w:r w:rsidRPr="00C823CC">
        <w:rPr>
          <w:rFonts w:ascii="Open Sans" w:hAnsi="Open Sans" w:cs="Open Sans"/>
          <w:sz w:val="22"/>
          <w:szCs w:val="22"/>
        </w:rPr>
        <w:t>Consider the question areas with staff and note any need for future action. We’ve included some example responses in green to help get you started.</w:t>
      </w:r>
    </w:p>
    <w:p w14:paraId="7E1AE8A9" w14:textId="77777777" w:rsidR="00EB2701" w:rsidRPr="00C823CC" w:rsidRDefault="00EB2701" w:rsidP="00BF6841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1559"/>
        <w:gridCol w:w="1701"/>
        <w:gridCol w:w="3686"/>
        <w:gridCol w:w="2126"/>
        <w:gridCol w:w="2693"/>
      </w:tblGrid>
      <w:tr w:rsidR="00185F90" w:rsidRPr="00C823CC" w14:paraId="008DEC99" w14:textId="5085D115" w:rsidTr="007A1FE4">
        <w:tc>
          <w:tcPr>
            <w:tcW w:w="2127" w:type="dxa"/>
            <w:shd w:val="clear" w:color="auto" w:fill="85BA41"/>
          </w:tcPr>
          <w:p w14:paraId="2CA8053B" w14:textId="6F77D12B" w:rsidR="007B5194" w:rsidRPr="00C823CC" w:rsidRDefault="007B5194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Questions to consider</w:t>
            </w:r>
          </w:p>
        </w:tc>
        <w:tc>
          <w:tcPr>
            <w:tcW w:w="1417" w:type="dxa"/>
            <w:shd w:val="clear" w:color="auto" w:fill="85BA41"/>
          </w:tcPr>
          <w:p w14:paraId="070CBDF1" w14:textId="33826EE8" w:rsidR="007B5194" w:rsidRPr="00C823CC" w:rsidRDefault="007B5194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 xml:space="preserve">When </w:t>
            </w:r>
          </w:p>
        </w:tc>
        <w:tc>
          <w:tcPr>
            <w:tcW w:w="1559" w:type="dxa"/>
            <w:shd w:val="clear" w:color="auto" w:fill="85BA41"/>
          </w:tcPr>
          <w:p w14:paraId="4EEB43D5" w14:textId="69AA4704" w:rsidR="007B5194" w:rsidRPr="00C823CC" w:rsidRDefault="007B5194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 xml:space="preserve">Supporting Evidence </w:t>
            </w:r>
          </w:p>
        </w:tc>
        <w:tc>
          <w:tcPr>
            <w:tcW w:w="1701" w:type="dxa"/>
            <w:shd w:val="clear" w:color="auto" w:fill="85BA41"/>
          </w:tcPr>
          <w:p w14:paraId="078BA1E4" w14:textId="5B40C676" w:rsidR="007B5194" w:rsidRPr="00C823CC" w:rsidRDefault="007B5194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Area of focus</w:t>
            </w:r>
          </w:p>
        </w:tc>
        <w:tc>
          <w:tcPr>
            <w:tcW w:w="3686" w:type="dxa"/>
            <w:shd w:val="clear" w:color="auto" w:fill="85BA41"/>
          </w:tcPr>
          <w:p w14:paraId="0C38DBE1" w14:textId="23301B14" w:rsidR="007B5194" w:rsidRPr="00C823CC" w:rsidRDefault="007B5194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Next steps</w:t>
            </w:r>
          </w:p>
        </w:tc>
        <w:tc>
          <w:tcPr>
            <w:tcW w:w="2126" w:type="dxa"/>
            <w:shd w:val="clear" w:color="auto" w:fill="85BA41"/>
          </w:tcPr>
          <w:p w14:paraId="41E1557F" w14:textId="07D24701" w:rsidR="007B5194" w:rsidRPr="00C823CC" w:rsidRDefault="007B5194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Designated Leader</w:t>
            </w:r>
          </w:p>
        </w:tc>
        <w:tc>
          <w:tcPr>
            <w:tcW w:w="2693" w:type="dxa"/>
            <w:shd w:val="clear" w:color="auto" w:fill="85BA41"/>
          </w:tcPr>
          <w:p w14:paraId="2BBF44BF" w14:textId="2BD7C899" w:rsidR="007B5194" w:rsidRPr="00C823CC" w:rsidRDefault="007B5194" w:rsidP="00BF6841">
            <w:pPr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Check impact by…</w:t>
            </w:r>
          </w:p>
        </w:tc>
      </w:tr>
      <w:tr w:rsidR="00185F90" w:rsidRPr="00C823CC" w14:paraId="2F5FE8D0" w14:textId="77777777" w:rsidTr="007A1FE4">
        <w:trPr>
          <w:trHeight w:val="1675"/>
        </w:trPr>
        <w:tc>
          <w:tcPr>
            <w:tcW w:w="2127" w:type="dxa"/>
          </w:tcPr>
          <w:p w14:paraId="65090D1F" w14:textId="4B38D5A1" w:rsidR="007B5194" w:rsidRPr="007A1FE4" w:rsidRDefault="007B5194" w:rsidP="007B5194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Do the final exam results meet expectations?</w:t>
            </w:r>
          </w:p>
          <w:p w14:paraId="27836943" w14:textId="409ABBBB" w:rsidR="007B5194" w:rsidRPr="007A1FE4" w:rsidRDefault="007B5194" w:rsidP="007B5194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769F8D7" w14:textId="646F808D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as soon as possible after results</w:t>
            </w:r>
          </w:p>
        </w:tc>
        <w:tc>
          <w:tcPr>
            <w:tcW w:w="1559" w:type="dxa"/>
          </w:tcPr>
          <w:p w14:paraId="459FACAD" w14:textId="5CE1897A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Exam data</w:t>
            </w:r>
          </w:p>
        </w:tc>
        <w:tc>
          <w:tcPr>
            <w:tcW w:w="1701" w:type="dxa"/>
          </w:tcPr>
          <w:p w14:paraId="0FE82427" w14:textId="32962895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Better results than predicted at A Level</w:t>
            </w:r>
          </w:p>
        </w:tc>
        <w:tc>
          <w:tcPr>
            <w:tcW w:w="3686" w:type="dxa"/>
          </w:tcPr>
          <w:p w14:paraId="09893C94" w14:textId="13E5C38F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Request return of scripts to ascertain </w:t>
            </w:r>
            <w:proofErr w:type="gramStart"/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why</w:t>
            </w:r>
            <w:proofErr w:type="gramEnd"/>
          </w:p>
          <w:p w14:paraId="37228A76" w14:textId="77777777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  <w:p w14:paraId="55100E32" w14:textId="339C5DE5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6D2A451" w14:textId="77777777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Subject leaders/</w:t>
            </w:r>
          </w:p>
          <w:p w14:paraId="377C5794" w14:textId="7CD4B28C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exams officer</w:t>
            </w:r>
          </w:p>
        </w:tc>
        <w:tc>
          <w:tcPr>
            <w:tcW w:w="2693" w:type="dxa"/>
          </w:tcPr>
          <w:p w14:paraId="38388BD4" w14:textId="7C00DF00" w:rsidR="007B5194" w:rsidRPr="00C823CC" w:rsidRDefault="007B5194" w:rsidP="00EB270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Feedback from </w:t>
            </w:r>
            <w:r w:rsidR="00FB77C1"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designated leaders</w:t>
            </w: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by 15th October  </w:t>
            </w:r>
          </w:p>
        </w:tc>
      </w:tr>
      <w:tr w:rsidR="007B5194" w:rsidRPr="00C823CC" w14:paraId="4737499D" w14:textId="77777777" w:rsidTr="007A1FE4">
        <w:trPr>
          <w:trHeight w:val="2111"/>
        </w:trPr>
        <w:tc>
          <w:tcPr>
            <w:tcW w:w="2127" w:type="dxa"/>
          </w:tcPr>
          <w:p w14:paraId="7BD6C059" w14:textId="733DD6B3" w:rsidR="007B5194" w:rsidRPr="007A1FE4" w:rsidRDefault="007B5194" w:rsidP="007B5194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What is there to review </w:t>
            </w:r>
            <w:r w:rsidR="00185F90"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/</w:t>
            </w: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highlight for each Head of </w:t>
            </w:r>
            <w:r w:rsidR="00185F90"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Subject </w:t>
            </w: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and Key Stage Leader?</w:t>
            </w:r>
          </w:p>
          <w:p w14:paraId="34B68489" w14:textId="77777777" w:rsidR="007B5194" w:rsidRPr="007A1FE4" w:rsidRDefault="007B5194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9073EFB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607FA67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B1E0560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49C12A69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284E5C6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F6F986D" w14:textId="77777777" w:rsidR="007B5194" w:rsidRPr="00C823CC" w:rsidRDefault="007B5194" w:rsidP="00EB270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</w:tr>
      <w:tr w:rsidR="007B5194" w:rsidRPr="00C823CC" w14:paraId="425EAB6C" w14:textId="77777777" w:rsidTr="007A1FE4">
        <w:tc>
          <w:tcPr>
            <w:tcW w:w="2127" w:type="dxa"/>
          </w:tcPr>
          <w:p w14:paraId="60DF5974" w14:textId="77777777" w:rsidR="007B5194" w:rsidRPr="007A1FE4" w:rsidRDefault="007B5194" w:rsidP="007B5194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What are the main areas to address with the school governance body?</w:t>
            </w:r>
          </w:p>
          <w:p w14:paraId="1CAC0E54" w14:textId="77777777" w:rsidR="007B5194" w:rsidRPr="007A1FE4" w:rsidRDefault="007B5194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FAE7127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237A755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C1B2A45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593149FE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2F08690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06734BA" w14:textId="77777777" w:rsidR="007B5194" w:rsidRPr="00C823CC" w:rsidRDefault="007B5194" w:rsidP="00EB270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</w:tr>
      <w:tr w:rsidR="007B5194" w:rsidRPr="00C823CC" w14:paraId="7E8E9BE1" w14:textId="77777777" w:rsidTr="007A1FE4">
        <w:tc>
          <w:tcPr>
            <w:tcW w:w="2127" w:type="dxa"/>
          </w:tcPr>
          <w:p w14:paraId="526F40B5" w14:textId="5CA448D9" w:rsidR="007B5194" w:rsidRPr="007A1FE4" w:rsidRDefault="007B5194" w:rsidP="007B5194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lastRenderedPageBreak/>
              <w:t>What is the overall performance of different groups</w:t>
            </w:r>
            <w:r w:rsidR="00185F90"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(</w:t>
            </w: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gender, ethnicity, EAL, SEND</w:t>
            </w:r>
            <w:r w:rsidR="00185F90"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) and </w:t>
            </w:r>
          </w:p>
          <w:p w14:paraId="447871CC" w14:textId="65B1E588" w:rsidR="00185F90" w:rsidRPr="007A1FE4" w:rsidRDefault="00185F90" w:rsidP="00185F90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what plans are in place to raise achievement?</w:t>
            </w:r>
          </w:p>
          <w:p w14:paraId="5560CF59" w14:textId="77777777" w:rsidR="007B5194" w:rsidRPr="007A1FE4" w:rsidRDefault="007B5194" w:rsidP="007B5194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DFF6963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7AF5EC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A393B6B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0A96C29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EA73722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FFB162E" w14:textId="77777777" w:rsidR="007B5194" w:rsidRPr="00C823CC" w:rsidRDefault="007B5194" w:rsidP="00EB270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</w:tr>
      <w:tr w:rsidR="00185F90" w:rsidRPr="00C823CC" w14:paraId="47E0D43C" w14:textId="77777777" w:rsidTr="007A1FE4">
        <w:trPr>
          <w:trHeight w:val="2057"/>
        </w:trPr>
        <w:tc>
          <w:tcPr>
            <w:tcW w:w="2127" w:type="dxa"/>
          </w:tcPr>
          <w:p w14:paraId="3B7D4BDB" w14:textId="452E9ACE" w:rsidR="007B5194" w:rsidRPr="007A1FE4" w:rsidRDefault="007B5194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Do pupils meet entry requirements for the next stage of their education?</w:t>
            </w:r>
          </w:p>
          <w:p w14:paraId="39D43046" w14:textId="752F9A8D" w:rsidR="007B5194" w:rsidRPr="007A1FE4" w:rsidRDefault="007B5194" w:rsidP="00A82BBA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C4CB1FE" w14:textId="74916813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asap</w:t>
            </w:r>
          </w:p>
        </w:tc>
        <w:tc>
          <w:tcPr>
            <w:tcW w:w="1559" w:type="dxa"/>
          </w:tcPr>
          <w:p w14:paraId="1B7F3A27" w14:textId="01C3C4DA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Further Ed offers and exam results</w:t>
            </w:r>
          </w:p>
        </w:tc>
        <w:tc>
          <w:tcPr>
            <w:tcW w:w="1701" w:type="dxa"/>
          </w:tcPr>
          <w:p w14:paraId="6CB5961D" w14:textId="2410898A" w:rsidR="007B5194" w:rsidRPr="00C823CC" w:rsidRDefault="00FB77C1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Accurate match of offers and results </w:t>
            </w:r>
          </w:p>
        </w:tc>
        <w:tc>
          <w:tcPr>
            <w:tcW w:w="3686" w:type="dxa"/>
          </w:tcPr>
          <w:p w14:paraId="0ECD92E1" w14:textId="6051E3C4" w:rsidR="007B5194" w:rsidRPr="00C823CC" w:rsidRDefault="00FB77C1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Track success over previous years to ascertain areas for improvement </w:t>
            </w:r>
          </w:p>
        </w:tc>
        <w:tc>
          <w:tcPr>
            <w:tcW w:w="2126" w:type="dxa"/>
          </w:tcPr>
          <w:p w14:paraId="45551877" w14:textId="67BAA970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Academic counsellor/ H</w:t>
            </w:r>
            <w:r w:rsidR="00FB77C1"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ead of </w:t>
            </w: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C</w:t>
            </w:r>
            <w:r w:rsidR="00FB77C1"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areers</w:t>
            </w:r>
          </w:p>
        </w:tc>
        <w:tc>
          <w:tcPr>
            <w:tcW w:w="2693" w:type="dxa"/>
          </w:tcPr>
          <w:p w14:paraId="6C987A19" w14:textId="6CA4583A" w:rsidR="007B5194" w:rsidRPr="00C823CC" w:rsidRDefault="00FB77C1" w:rsidP="00EB270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Feedback from designated leaders before half-term</w:t>
            </w:r>
          </w:p>
        </w:tc>
      </w:tr>
      <w:tr w:rsidR="00185F90" w:rsidRPr="00C823CC" w14:paraId="42E03ED2" w14:textId="77777777" w:rsidTr="007A1FE4">
        <w:trPr>
          <w:trHeight w:val="1813"/>
        </w:trPr>
        <w:tc>
          <w:tcPr>
            <w:tcW w:w="2127" w:type="dxa"/>
          </w:tcPr>
          <w:p w14:paraId="4D022956" w14:textId="1E486E57" w:rsidR="007B5194" w:rsidRPr="007A1FE4" w:rsidRDefault="007B5194" w:rsidP="00FB77C1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How</w:t>
            </w:r>
            <w:r w:rsidR="00FB77C1"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</w:t>
            </w: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are</w:t>
            </w:r>
            <w:r w:rsidR="00FB77C1"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 xml:space="preserve"> </w:t>
            </w: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exam expectations set?</w:t>
            </w:r>
          </w:p>
          <w:p w14:paraId="0048C766" w14:textId="2F9517BA" w:rsidR="007B5194" w:rsidRPr="007A1FE4" w:rsidRDefault="007B5194" w:rsidP="00A82BBA">
            <w:pPr>
              <w:jc w:val="both"/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3163939" w14:textId="65A89F62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Autumn Term</w:t>
            </w:r>
          </w:p>
        </w:tc>
        <w:tc>
          <w:tcPr>
            <w:tcW w:w="1559" w:type="dxa"/>
          </w:tcPr>
          <w:p w14:paraId="7F065468" w14:textId="648E1B50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Target grade data</w:t>
            </w:r>
          </w:p>
        </w:tc>
        <w:tc>
          <w:tcPr>
            <w:tcW w:w="1701" w:type="dxa"/>
          </w:tcPr>
          <w:p w14:paraId="53591623" w14:textId="585A940D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Mixed use amongst staff</w:t>
            </w:r>
          </w:p>
        </w:tc>
        <w:tc>
          <w:tcPr>
            <w:tcW w:w="3686" w:type="dxa"/>
          </w:tcPr>
          <w:p w14:paraId="1E4355A1" w14:textId="67B735AF" w:rsidR="007B5194" w:rsidRPr="00C823CC" w:rsidRDefault="007B5194" w:rsidP="00EB270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Consider</w:t>
            </w:r>
            <w:r w:rsidR="00185F90"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streamlining</w:t>
            </w:r>
            <w:r w:rsidR="00185F90"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or </w:t>
            </w: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developing shared </w:t>
            </w:r>
            <w:proofErr w:type="gramStart"/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understanding</w:t>
            </w:r>
            <w:proofErr w:type="gramEnd"/>
          </w:p>
          <w:p w14:paraId="337DF434" w14:textId="6450BE49" w:rsidR="007B5194" w:rsidRPr="00C823CC" w:rsidRDefault="007B5194" w:rsidP="00EB270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69DF6C9" w14:textId="4A699DC4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Subject leaders and </w:t>
            </w:r>
            <w:r w:rsidR="00185F90"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S</w:t>
            </w: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LT</w:t>
            </w:r>
          </w:p>
        </w:tc>
        <w:tc>
          <w:tcPr>
            <w:tcW w:w="2693" w:type="dxa"/>
          </w:tcPr>
          <w:p w14:paraId="75112BE9" w14:textId="1136CF16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Immediately pre, and then post, mock exams </w:t>
            </w:r>
          </w:p>
        </w:tc>
      </w:tr>
      <w:tr w:rsidR="00185F90" w:rsidRPr="00C823CC" w14:paraId="138D84FF" w14:textId="77777777" w:rsidTr="007A1FE4">
        <w:trPr>
          <w:trHeight w:val="1999"/>
        </w:trPr>
        <w:tc>
          <w:tcPr>
            <w:tcW w:w="2127" w:type="dxa"/>
          </w:tcPr>
          <w:p w14:paraId="3691B14A" w14:textId="77777777" w:rsidR="00FB77C1" w:rsidRPr="007A1FE4" w:rsidRDefault="00FB77C1" w:rsidP="00FB77C1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Are the same procedures used for internal/mock exams?</w:t>
            </w:r>
          </w:p>
          <w:p w14:paraId="45F437C3" w14:textId="734D8D1B" w:rsidR="007B5194" w:rsidRPr="007A1FE4" w:rsidRDefault="007B5194" w:rsidP="00FB77C1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50C1BC4" w14:textId="0D7F3CF1" w:rsidR="007B5194" w:rsidRPr="00C823CC" w:rsidRDefault="007B5194" w:rsidP="00BF684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8D0E08E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37FDAC4" w14:textId="1FE32A0C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5A113C1" w14:textId="088E955F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C920591" w14:textId="4A8572E6" w:rsidR="007B5194" w:rsidRPr="00C823CC" w:rsidRDefault="007B5194" w:rsidP="00EB270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8EC83F0" w14:textId="61051748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</w:tr>
      <w:tr w:rsidR="00185F90" w:rsidRPr="00C823CC" w14:paraId="632F5836" w14:textId="77777777" w:rsidTr="007A1FE4">
        <w:trPr>
          <w:trHeight w:val="1968"/>
        </w:trPr>
        <w:tc>
          <w:tcPr>
            <w:tcW w:w="2127" w:type="dxa"/>
          </w:tcPr>
          <w:p w14:paraId="190D2CF9" w14:textId="77777777" w:rsidR="00FB77C1" w:rsidRPr="007A1FE4" w:rsidRDefault="00FB77C1" w:rsidP="00FB77C1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lastRenderedPageBreak/>
              <w:t>How are common areas of development decided upon?</w:t>
            </w:r>
          </w:p>
          <w:p w14:paraId="35A61B48" w14:textId="608EFB2B" w:rsidR="007B5194" w:rsidRPr="007A1FE4" w:rsidRDefault="007B5194" w:rsidP="00A82BBA">
            <w:pPr>
              <w:jc w:val="both"/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0717518" w14:textId="1B5B00B9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475312" w14:textId="77777777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D9B8CC4" w14:textId="30438B64" w:rsidR="007B5194" w:rsidRPr="00C823CC" w:rsidRDefault="007B5194" w:rsidP="00BF6841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2783E140" w14:textId="6233A33E" w:rsidR="007B5194" w:rsidRPr="00C823CC" w:rsidRDefault="007B5194" w:rsidP="00BF684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BA5EEB0" w14:textId="1548FA21" w:rsidR="007B5194" w:rsidRPr="00C823CC" w:rsidRDefault="007B5194" w:rsidP="00BF684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07C2AF08" w14:textId="06675AE1" w:rsidR="007B5194" w:rsidRPr="00C823CC" w:rsidRDefault="007B5194" w:rsidP="00BF684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185F90" w:rsidRPr="00C823CC" w14:paraId="705D9773" w14:textId="77777777" w:rsidTr="007A1FE4">
        <w:trPr>
          <w:trHeight w:val="1968"/>
        </w:trPr>
        <w:tc>
          <w:tcPr>
            <w:tcW w:w="2127" w:type="dxa"/>
          </w:tcPr>
          <w:p w14:paraId="69D106AF" w14:textId="77777777" w:rsidR="007B5194" w:rsidRPr="007A1FE4" w:rsidRDefault="007B5194" w:rsidP="007B5194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  <w:r w:rsidRPr="007A1FE4"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  <w:t>How are pupils empowered to impact their own learning and progress?</w:t>
            </w:r>
          </w:p>
          <w:p w14:paraId="55593E99" w14:textId="4D2357C5" w:rsidR="007B5194" w:rsidRPr="007A1FE4" w:rsidRDefault="007B5194" w:rsidP="00BF6841">
            <w:pPr>
              <w:rPr>
                <w:rFonts w:ascii="Open Sans SemiBold" w:hAnsi="Open Sans SemiBold" w:cs="Open Sans SemiBold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BC35417" w14:textId="79F29C91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Autumn Term</w:t>
            </w:r>
          </w:p>
        </w:tc>
        <w:tc>
          <w:tcPr>
            <w:tcW w:w="1559" w:type="dxa"/>
          </w:tcPr>
          <w:p w14:paraId="041895B3" w14:textId="69284689" w:rsidR="007B5194" w:rsidRPr="00C823CC" w:rsidRDefault="007B5194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Assessment policy </w:t>
            </w:r>
          </w:p>
        </w:tc>
        <w:tc>
          <w:tcPr>
            <w:tcW w:w="1701" w:type="dxa"/>
          </w:tcPr>
          <w:p w14:paraId="2B8288D7" w14:textId="451C441E" w:rsidR="007B5194" w:rsidRPr="00C823CC" w:rsidRDefault="00FB77C1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Pupil agency – Assessment as Learning</w:t>
            </w:r>
          </w:p>
        </w:tc>
        <w:tc>
          <w:tcPr>
            <w:tcW w:w="3686" w:type="dxa"/>
          </w:tcPr>
          <w:p w14:paraId="04DA9141" w14:textId="08A16BBE" w:rsidR="007B5194" w:rsidRPr="00C823CC" w:rsidRDefault="00185F90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Investigate how to embed strategies to develop this further </w:t>
            </w:r>
          </w:p>
        </w:tc>
        <w:tc>
          <w:tcPr>
            <w:tcW w:w="2126" w:type="dxa"/>
          </w:tcPr>
          <w:p w14:paraId="6F7DCE65" w14:textId="40990BE1" w:rsidR="007B5194" w:rsidRPr="00C823CC" w:rsidRDefault="00185F90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Subject leaders and SLT</w:t>
            </w:r>
          </w:p>
        </w:tc>
        <w:tc>
          <w:tcPr>
            <w:tcW w:w="2693" w:type="dxa"/>
          </w:tcPr>
          <w:p w14:paraId="4863E2F1" w14:textId="581B8A5E" w:rsidR="007B5194" w:rsidRPr="00C823CC" w:rsidRDefault="00185F90" w:rsidP="00BF6841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End of Autumn Term</w:t>
            </w:r>
          </w:p>
        </w:tc>
      </w:tr>
    </w:tbl>
    <w:p w14:paraId="2EAA56B6" w14:textId="77777777" w:rsidR="00A82BBA" w:rsidRPr="00C823CC" w:rsidRDefault="00A82BBA" w:rsidP="00BF6841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309"/>
      </w:tblGrid>
      <w:tr w:rsidR="00D977EC" w:rsidRPr="00C823CC" w14:paraId="4D676D95" w14:textId="77777777" w:rsidTr="007A1FE4">
        <w:tc>
          <w:tcPr>
            <w:tcW w:w="15309" w:type="dxa"/>
            <w:shd w:val="clear" w:color="auto" w:fill="85BA41"/>
          </w:tcPr>
          <w:p w14:paraId="4F2B5BA3" w14:textId="4C176B79" w:rsidR="00D977EC" w:rsidRPr="00C823CC" w:rsidRDefault="00D977EC" w:rsidP="00BF684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b/>
                <w:bCs/>
                <w:color w:val="FFFFFF" w:themeColor="background1"/>
                <w:sz w:val="22"/>
                <w:szCs w:val="22"/>
              </w:rPr>
              <w:t>Changes in practice?</w:t>
            </w:r>
          </w:p>
        </w:tc>
      </w:tr>
      <w:tr w:rsidR="00D977EC" w:rsidRPr="00C823CC" w14:paraId="234F5589" w14:textId="77777777" w:rsidTr="007A1FE4">
        <w:trPr>
          <w:trHeight w:val="2075"/>
        </w:trPr>
        <w:tc>
          <w:tcPr>
            <w:tcW w:w="15309" w:type="dxa"/>
          </w:tcPr>
          <w:p w14:paraId="2B778E73" w14:textId="33982133" w:rsidR="007C3DC8" w:rsidRPr="00C823CC" w:rsidRDefault="00F438D6" w:rsidP="00F438D6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Detail any proposed changes which arise from review here.</w:t>
            </w:r>
          </w:p>
          <w:p w14:paraId="6D8AB948" w14:textId="565D13D9" w:rsidR="00EB2701" w:rsidRPr="00C823CC" w:rsidRDefault="00F438D6" w:rsidP="00F438D6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Add specific dates for </w:t>
            </w:r>
            <w:r w:rsidR="00852CEB"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developments.</w:t>
            </w: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 </w:t>
            </w:r>
          </w:p>
          <w:p w14:paraId="4B1C7C2C" w14:textId="6B12393F" w:rsidR="00F438D6" w:rsidRPr="00C823CC" w:rsidRDefault="00EB2701" w:rsidP="00F438D6">
            <w:pPr>
              <w:rPr>
                <w:rFonts w:ascii="Open Sans" w:hAnsi="Open Sans" w:cs="Open Sans"/>
                <w:color w:val="85BA41"/>
                <w:sz w:val="22"/>
                <w:szCs w:val="22"/>
              </w:rPr>
            </w:pPr>
            <w:r w:rsidRPr="00C823CC">
              <w:rPr>
                <w:rFonts w:ascii="Open Sans" w:hAnsi="Open Sans" w:cs="Open Sans"/>
                <w:color w:val="85BA41"/>
                <w:sz w:val="22"/>
                <w:szCs w:val="22"/>
              </w:rPr>
              <w:t>For example, the return of scripts exercise might show a particular focus to be developed in T+L</w:t>
            </w:r>
            <w:r w:rsidR="00852CEB">
              <w:rPr>
                <w:rFonts w:ascii="Open Sans" w:hAnsi="Open Sans" w:cs="Open Sans"/>
                <w:color w:val="85BA41"/>
                <w:sz w:val="22"/>
                <w:szCs w:val="22"/>
              </w:rPr>
              <w:t xml:space="preserve">. </w:t>
            </w:r>
          </w:p>
          <w:p w14:paraId="13E3C027" w14:textId="2210CE27" w:rsidR="00F438D6" w:rsidRPr="00C823CC" w:rsidRDefault="00F438D6" w:rsidP="00F438D6">
            <w:pPr>
              <w:rPr>
                <w:rFonts w:ascii="Open Sans" w:hAnsi="Open Sans" w:cs="Open Sans"/>
                <w:color w:val="00B050"/>
                <w:sz w:val="22"/>
                <w:szCs w:val="22"/>
              </w:rPr>
            </w:pPr>
          </w:p>
        </w:tc>
      </w:tr>
    </w:tbl>
    <w:p w14:paraId="653AF8C2" w14:textId="77777777" w:rsidR="007C3DC8" w:rsidRPr="00C823CC" w:rsidRDefault="007C3DC8">
      <w:pPr>
        <w:rPr>
          <w:rFonts w:ascii="Open Sans" w:hAnsi="Open Sans" w:cs="Open Sans"/>
          <w:sz w:val="22"/>
          <w:szCs w:val="22"/>
        </w:rPr>
      </w:pPr>
    </w:p>
    <w:p w14:paraId="193852A1" w14:textId="77777777" w:rsidR="007A1FE4" w:rsidRDefault="007A1FE4">
      <w:pPr>
        <w:rPr>
          <w:rFonts w:ascii="Open Sans" w:hAnsi="Open Sans" w:cs="Open Sans"/>
          <w:sz w:val="22"/>
          <w:szCs w:val="22"/>
        </w:rPr>
      </w:pPr>
    </w:p>
    <w:p w14:paraId="7FEE8FA8" w14:textId="77777777" w:rsidR="007A1FE4" w:rsidRDefault="007A1FE4">
      <w:pPr>
        <w:rPr>
          <w:rFonts w:ascii="Open Sans" w:hAnsi="Open Sans" w:cs="Open Sans"/>
          <w:sz w:val="22"/>
          <w:szCs w:val="22"/>
        </w:rPr>
      </w:pPr>
    </w:p>
    <w:p w14:paraId="6408009D" w14:textId="77777777" w:rsidR="007A1FE4" w:rsidRDefault="007A1FE4">
      <w:pPr>
        <w:rPr>
          <w:rFonts w:ascii="Open Sans" w:hAnsi="Open Sans" w:cs="Open Sans"/>
          <w:sz w:val="22"/>
          <w:szCs w:val="22"/>
        </w:rPr>
      </w:pPr>
    </w:p>
    <w:p w14:paraId="404FF71F" w14:textId="7E0A1657" w:rsidR="007C3DC8" w:rsidRPr="00C823CC" w:rsidRDefault="007C3DC8">
      <w:pPr>
        <w:rPr>
          <w:rFonts w:ascii="Open Sans" w:hAnsi="Open Sans" w:cs="Open Sans"/>
          <w:sz w:val="22"/>
          <w:szCs w:val="22"/>
        </w:rPr>
      </w:pPr>
      <w:r w:rsidRPr="00C823CC">
        <w:rPr>
          <w:rFonts w:ascii="Open Sans" w:hAnsi="Open Sans" w:cs="Open Sans"/>
          <w:sz w:val="22"/>
          <w:szCs w:val="22"/>
        </w:rPr>
        <w:t xml:space="preserve">Review Date: </w:t>
      </w:r>
    </w:p>
    <w:p w14:paraId="1F3BC66C" w14:textId="77777777" w:rsidR="00E172C5" w:rsidRPr="00C823CC" w:rsidRDefault="00E172C5">
      <w:pPr>
        <w:rPr>
          <w:rFonts w:ascii="Open Sans" w:hAnsi="Open Sans" w:cs="Open Sans"/>
          <w:sz w:val="22"/>
          <w:szCs w:val="22"/>
        </w:rPr>
      </w:pPr>
    </w:p>
    <w:p w14:paraId="569A6208" w14:textId="77777777" w:rsidR="00E172C5" w:rsidRPr="00C823CC" w:rsidRDefault="00E172C5">
      <w:pPr>
        <w:rPr>
          <w:rFonts w:ascii="Open Sans" w:hAnsi="Open Sans" w:cs="Open Sans"/>
          <w:sz w:val="22"/>
          <w:szCs w:val="22"/>
        </w:rPr>
      </w:pPr>
    </w:p>
    <w:p w14:paraId="630D09E6" w14:textId="45706A8D" w:rsidR="00E172C5" w:rsidRPr="006C0231" w:rsidRDefault="00E172C5">
      <w:pPr>
        <w:rPr>
          <w:rFonts w:ascii="Open Sans" w:hAnsi="Open Sans" w:cs="Open Sans"/>
          <w:b/>
          <w:bCs/>
          <w:i/>
          <w:iCs/>
          <w:sz w:val="22"/>
          <w:szCs w:val="22"/>
        </w:rPr>
      </w:pPr>
      <w:r w:rsidRPr="00C823CC">
        <w:rPr>
          <w:rFonts w:ascii="Open Sans" w:hAnsi="Open Sans" w:cs="Open Sans"/>
          <w:b/>
          <w:bCs/>
          <w:i/>
          <w:iCs/>
          <w:sz w:val="22"/>
          <w:szCs w:val="22"/>
        </w:rPr>
        <w:t>We recommend logging the review date electronically and setting reminders in advance.</w:t>
      </w:r>
    </w:p>
    <w:sectPr w:rsidR="00E172C5" w:rsidRPr="006C0231" w:rsidSect="00FB77C1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D51E" w14:textId="77777777" w:rsidR="002045E4" w:rsidRDefault="002045E4" w:rsidP="00C823CC">
      <w:r>
        <w:separator/>
      </w:r>
    </w:p>
  </w:endnote>
  <w:endnote w:type="continuationSeparator" w:id="0">
    <w:p w14:paraId="1DE512D0" w14:textId="77777777" w:rsidR="002045E4" w:rsidRDefault="002045E4" w:rsidP="00C8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KG Second Chances Sketch">
    <w:altName w:val="Times New Roman"/>
    <w:panose1 w:val="020B0604020202020204"/>
    <w:charset w:val="4D"/>
    <w:family w:val="auto"/>
    <w:pitch w:val="variable"/>
    <w:sig w:usb0="A000002F" w:usb1="00000042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831DE" w14:textId="31B23A00" w:rsidR="00C823CC" w:rsidRDefault="00C823CC">
    <w:pPr>
      <w:pStyle w:val="Footer"/>
    </w:pPr>
    <w:r w:rsidRPr="00C823CC">
      <w:rPr>
        <w:noProof/>
      </w:rPr>
      <w:drawing>
        <wp:inline distT="0" distB="0" distL="0" distR="0" wp14:anchorId="1D67DF1B" wp14:editId="19A05580">
          <wp:extent cx="9777730" cy="514350"/>
          <wp:effectExtent l="0" t="0" r="127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7773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390A4" w14:textId="77777777" w:rsidR="002045E4" w:rsidRDefault="002045E4" w:rsidP="00C823CC">
      <w:r>
        <w:separator/>
      </w:r>
    </w:p>
  </w:footnote>
  <w:footnote w:type="continuationSeparator" w:id="0">
    <w:p w14:paraId="4A9B17E8" w14:textId="77777777" w:rsidR="002045E4" w:rsidRDefault="002045E4" w:rsidP="00C82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4232F"/>
    <w:multiLevelType w:val="multilevel"/>
    <w:tmpl w:val="D1E27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2665BB"/>
    <w:multiLevelType w:val="hybridMultilevel"/>
    <w:tmpl w:val="5832CD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806F4"/>
    <w:multiLevelType w:val="multilevel"/>
    <w:tmpl w:val="FCEA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5A2647"/>
    <w:multiLevelType w:val="multilevel"/>
    <w:tmpl w:val="7ABA9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7348832">
    <w:abstractNumId w:val="0"/>
  </w:num>
  <w:num w:numId="2" w16cid:durableId="1264845384">
    <w:abstractNumId w:val="2"/>
  </w:num>
  <w:num w:numId="3" w16cid:durableId="203442736">
    <w:abstractNumId w:val="3"/>
  </w:num>
  <w:num w:numId="4" w16cid:durableId="1784106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841"/>
    <w:rsid w:val="000D231C"/>
    <w:rsid w:val="00185F90"/>
    <w:rsid w:val="00192B97"/>
    <w:rsid w:val="001E0D8E"/>
    <w:rsid w:val="002045E4"/>
    <w:rsid w:val="002872B9"/>
    <w:rsid w:val="002D0AD8"/>
    <w:rsid w:val="002F1150"/>
    <w:rsid w:val="005745ED"/>
    <w:rsid w:val="005750AA"/>
    <w:rsid w:val="00575225"/>
    <w:rsid w:val="00590A0E"/>
    <w:rsid w:val="005B7358"/>
    <w:rsid w:val="00624CC0"/>
    <w:rsid w:val="00687354"/>
    <w:rsid w:val="006C0231"/>
    <w:rsid w:val="00716562"/>
    <w:rsid w:val="00765B09"/>
    <w:rsid w:val="0079469D"/>
    <w:rsid w:val="007A1FE4"/>
    <w:rsid w:val="007B5194"/>
    <w:rsid w:val="007C3DC8"/>
    <w:rsid w:val="00823730"/>
    <w:rsid w:val="00852CEB"/>
    <w:rsid w:val="00911F4B"/>
    <w:rsid w:val="009166DD"/>
    <w:rsid w:val="009A5A35"/>
    <w:rsid w:val="00A82BBA"/>
    <w:rsid w:val="00BF6841"/>
    <w:rsid w:val="00C823CC"/>
    <w:rsid w:val="00D53C2D"/>
    <w:rsid w:val="00D958DE"/>
    <w:rsid w:val="00D977EC"/>
    <w:rsid w:val="00DE148F"/>
    <w:rsid w:val="00E00626"/>
    <w:rsid w:val="00E0722F"/>
    <w:rsid w:val="00E172C5"/>
    <w:rsid w:val="00EB2701"/>
    <w:rsid w:val="00F03A56"/>
    <w:rsid w:val="00F438D6"/>
    <w:rsid w:val="00F50EEA"/>
    <w:rsid w:val="00FB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BC7822"/>
  <w15:chartTrackingRefBased/>
  <w15:docId w15:val="{E4693E8D-D6C8-8146-8E36-051C387D9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6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6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6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6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6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68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68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68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68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6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6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6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68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68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68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68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68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68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68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6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684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6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68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68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68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68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6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68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684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D2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C3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D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D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DC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C3DC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7C3DC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823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3CC"/>
  </w:style>
  <w:style w:type="paragraph" w:styleId="Footer">
    <w:name w:val="footer"/>
    <w:basedOn w:val="Normal"/>
    <w:link w:val="FooterChar"/>
    <w:uiPriority w:val="99"/>
    <w:unhideWhenUsed/>
    <w:rsid w:val="00C823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2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1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2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Batters</dc:creator>
  <cp:keywords/>
  <dc:description/>
  <cp:lastModifiedBy>costA Constantinou</cp:lastModifiedBy>
  <cp:revision>8</cp:revision>
  <dcterms:created xsi:type="dcterms:W3CDTF">2024-09-02T07:23:00Z</dcterms:created>
  <dcterms:modified xsi:type="dcterms:W3CDTF">2024-09-12T06:38:00Z</dcterms:modified>
</cp:coreProperties>
</file>