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0BAB7" w14:textId="77777777" w:rsidR="002B3D46" w:rsidRDefault="00F93DE9" w:rsidP="002B3D46">
      <w:pPr>
        <w:jc w:val="center"/>
        <w:rPr>
          <w:rFonts w:ascii="KG Second Chances Sketch" w:hAnsi="KG Second Chances Sketch" w:cs="Open Sans"/>
          <w:color w:val="85BA41"/>
          <w:sz w:val="40"/>
          <w:szCs w:val="40"/>
          <w:lang w:val="en-GB"/>
        </w:rPr>
      </w:pPr>
      <w:r w:rsidRPr="002B3D46">
        <w:rPr>
          <w:rFonts w:ascii="KG Second Chances Sketch" w:hAnsi="KG Second Chances Sketch" w:cs="Open Sans"/>
          <w:color w:val="85BA41"/>
          <w:sz w:val="40"/>
          <w:szCs w:val="40"/>
          <w:lang w:val="en-GB"/>
        </w:rPr>
        <w:t>School Leadership Activity:</w:t>
      </w:r>
    </w:p>
    <w:p w14:paraId="181695A7" w14:textId="6468A722" w:rsidR="00F93DE9" w:rsidRPr="002B3D46" w:rsidRDefault="00F93DE9" w:rsidP="002B3D46">
      <w:pPr>
        <w:jc w:val="center"/>
        <w:rPr>
          <w:rFonts w:ascii="KG Second Chances Sketch" w:hAnsi="KG Second Chances Sketch" w:cs="Open Sans"/>
          <w:color w:val="85BA41"/>
          <w:sz w:val="40"/>
          <w:szCs w:val="40"/>
        </w:rPr>
      </w:pPr>
      <w:r w:rsidRPr="002B3D46">
        <w:rPr>
          <w:rFonts w:ascii="KG Second Chances Sketch" w:hAnsi="KG Second Chances Sketch" w:cs="Open Sans"/>
          <w:color w:val="85BA41"/>
          <w:sz w:val="40"/>
          <w:szCs w:val="40"/>
          <w:lang w:val="en-GB"/>
        </w:rPr>
        <w:t>SEF Exercise</w:t>
      </w:r>
      <w:r w:rsidRPr="002B3D46">
        <w:rPr>
          <w:rFonts w:ascii="KG Second Chances Sketch" w:hAnsi="KG Second Chances Sketch" w:cs="Open Sans"/>
          <w:color w:val="85BA41"/>
          <w:sz w:val="40"/>
          <w:szCs w:val="40"/>
        </w:rPr>
        <w:t xml:space="preserve"> Autumn Term – Know your </w:t>
      </w:r>
      <w:r w:rsidR="00512EB9" w:rsidRPr="002B3D46">
        <w:rPr>
          <w:rFonts w:ascii="KG Second Chances Sketch" w:hAnsi="KG Second Chances Sketch" w:cs="Open Sans"/>
          <w:color w:val="85BA41"/>
          <w:sz w:val="40"/>
          <w:szCs w:val="40"/>
        </w:rPr>
        <w:t>pupils’</w:t>
      </w:r>
      <w:r w:rsidRPr="002B3D46">
        <w:rPr>
          <w:rFonts w:ascii="KG Second Chances Sketch" w:hAnsi="KG Second Chances Sketch" w:cs="Open Sans"/>
          <w:color w:val="85BA41"/>
          <w:sz w:val="40"/>
          <w:szCs w:val="40"/>
        </w:rPr>
        <w:t xml:space="preserve"> </w:t>
      </w:r>
      <w:r w:rsidR="002E651E" w:rsidRPr="002B3D46">
        <w:rPr>
          <w:rFonts w:ascii="KG Second Chances Sketch" w:hAnsi="KG Second Chances Sketch" w:cs="Open Sans"/>
          <w:color w:val="85BA41"/>
          <w:sz w:val="40"/>
          <w:szCs w:val="40"/>
        </w:rPr>
        <w:t>evaluation</w:t>
      </w:r>
    </w:p>
    <w:p w14:paraId="04B6C0C0" w14:textId="77777777" w:rsidR="00AF3015" w:rsidRPr="002B3D46" w:rsidRDefault="00AF3015" w:rsidP="00AF3015">
      <w:pPr>
        <w:rPr>
          <w:rFonts w:ascii="Open Sans" w:hAnsi="Open Sans" w:cs="Open Sans"/>
          <w:sz w:val="22"/>
          <w:szCs w:val="22"/>
        </w:rPr>
      </w:pPr>
    </w:p>
    <w:p w14:paraId="720D25F7" w14:textId="463CB4CB" w:rsidR="00AF3015" w:rsidRPr="002B3D46" w:rsidRDefault="00AF3015" w:rsidP="00AF3015">
      <w:pPr>
        <w:rPr>
          <w:rFonts w:ascii="Open Sans" w:hAnsi="Open Sans" w:cs="Open Sans"/>
          <w:sz w:val="22"/>
          <w:szCs w:val="22"/>
        </w:rPr>
      </w:pPr>
      <w:r w:rsidRPr="002B3D46">
        <w:rPr>
          <w:rFonts w:ascii="Open Sans" w:hAnsi="Open Sans" w:cs="Open Sans"/>
          <w:sz w:val="22"/>
          <w:szCs w:val="22"/>
        </w:rPr>
        <w:t>Do we give staff  enough information to know as much as possible about the pupils in our care?</w:t>
      </w:r>
      <w:r w:rsidR="00925C4E" w:rsidRPr="002B3D46">
        <w:rPr>
          <w:rFonts w:ascii="Open Sans" w:hAnsi="Open Sans" w:cs="Open Sans"/>
          <w:sz w:val="22"/>
          <w:szCs w:val="22"/>
        </w:rPr>
        <w:t xml:space="preserve"> The best time to review this area is at the beginning of the school year when staff are trying to get to know new classes.</w:t>
      </w:r>
    </w:p>
    <w:p w14:paraId="2B8C8FAA" w14:textId="77777777" w:rsidR="002E651E" w:rsidRPr="002B3D46" w:rsidRDefault="002E651E" w:rsidP="00AF3015">
      <w:pPr>
        <w:rPr>
          <w:rFonts w:ascii="Open Sans" w:hAnsi="Open Sans" w:cs="Open Sans"/>
          <w:sz w:val="22"/>
          <w:szCs w:val="22"/>
        </w:rPr>
      </w:pPr>
    </w:p>
    <w:p w14:paraId="7D7678FA" w14:textId="24ED485A" w:rsidR="00AF3015" w:rsidRPr="002B3D46" w:rsidRDefault="00925C4E" w:rsidP="00AF3015">
      <w:pPr>
        <w:rPr>
          <w:rFonts w:ascii="Open Sans" w:hAnsi="Open Sans" w:cs="Open Sans"/>
          <w:sz w:val="22"/>
          <w:szCs w:val="22"/>
        </w:rPr>
      </w:pPr>
      <w:r w:rsidRPr="002B3D46">
        <w:rPr>
          <w:rFonts w:ascii="Open Sans" w:hAnsi="Open Sans" w:cs="Open Sans"/>
          <w:sz w:val="22"/>
          <w:szCs w:val="22"/>
        </w:rPr>
        <w:t>Cons</w:t>
      </w:r>
      <w:r w:rsidR="00527F19" w:rsidRPr="002B3D46">
        <w:rPr>
          <w:rFonts w:ascii="Open Sans" w:hAnsi="Open Sans" w:cs="Open Sans"/>
          <w:sz w:val="22"/>
          <w:szCs w:val="22"/>
        </w:rPr>
        <w:t>i</w:t>
      </w:r>
      <w:r w:rsidRPr="002B3D46">
        <w:rPr>
          <w:rFonts w:ascii="Open Sans" w:hAnsi="Open Sans" w:cs="Open Sans"/>
          <w:sz w:val="22"/>
          <w:szCs w:val="22"/>
        </w:rPr>
        <w:t xml:space="preserve">der the question areas with staff and note any need for future action. </w:t>
      </w:r>
      <w:r w:rsidR="002E651E" w:rsidRPr="002B3D46">
        <w:rPr>
          <w:rFonts w:ascii="Open Sans" w:hAnsi="Open Sans" w:cs="Open Sans"/>
          <w:sz w:val="22"/>
          <w:szCs w:val="22"/>
        </w:rPr>
        <w:t>We’ve included some example responses in green to help get you started.</w:t>
      </w:r>
    </w:p>
    <w:p w14:paraId="605C58F1" w14:textId="77777777" w:rsidR="00AF3015" w:rsidRPr="002B3D46" w:rsidRDefault="00AF3015" w:rsidP="00D23F86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701"/>
        <w:gridCol w:w="1984"/>
        <w:gridCol w:w="3119"/>
        <w:gridCol w:w="2126"/>
        <w:gridCol w:w="2693"/>
      </w:tblGrid>
      <w:tr w:rsidR="00F93DE9" w:rsidRPr="002B3D46" w14:paraId="6579387D" w14:textId="77777777" w:rsidTr="001E7F7C">
        <w:tc>
          <w:tcPr>
            <w:tcW w:w="2552" w:type="dxa"/>
            <w:shd w:val="clear" w:color="auto" w:fill="85BA41"/>
          </w:tcPr>
          <w:p w14:paraId="5CA54D3B" w14:textId="77777777" w:rsidR="00F93DE9" w:rsidRPr="002B3D46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Questions to consider</w:t>
            </w:r>
          </w:p>
        </w:tc>
        <w:tc>
          <w:tcPr>
            <w:tcW w:w="1134" w:type="dxa"/>
            <w:shd w:val="clear" w:color="auto" w:fill="85BA41"/>
          </w:tcPr>
          <w:p w14:paraId="4C90B61C" w14:textId="77777777" w:rsidR="00F93DE9" w:rsidRPr="002B3D46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 xml:space="preserve">When </w:t>
            </w:r>
          </w:p>
        </w:tc>
        <w:tc>
          <w:tcPr>
            <w:tcW w:w="1701" w:type="dxa"/>
            <w:shd w:val="clear" w:color="auto" w:fill="85BA41"/>
          </w:tcPr>
          <w:p w14:paraId="66A73CAA" w14:textId="77777777" w:rsidR="00F93DE9" w:rsidRPr="002B3D46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 xml:space="preserve">Supporting Evidence </w:t>
            </w:r>
          </w:p>
        </w:tc>
        <w:tc>
          <w:tcPr>
            <w:tcW w:w="1984" w:type="dxa"/>
            <w:shd w:val="clear" w:color="auto" w:fill="85BA41"/>
          </w:tcPr>
          <w:p w14:paraId="38CF468F" w14:textId="77777777" w:rsidR="00F93DE9" w:rsidRPr="002B3D46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Area of focus</w:t>
            </w:r>
          </w:p>
        </w:tc>
        <w:tc>
          <w:tcPr>
            <w:tcW w:w="3119" w:type="dxa"/>
            <w:shd w:val="clear" w:color="auto" w:fill="85BA41"/>
          </w:tcPr>
          <w:p w14:paraId="02D2BF02" w14:textId="77777777" w:rsidR="00F93DE9" w:rsidRPr="002B3D46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Next steps</w:t>
            </w:r>
          </w:p>
        </w:tc>
        <w:tc>
          <w:tcPr>
            <w:tcW w:w="2126" w:type="dxa"/>
            <w:shd w:val="clear" w:color="auto" w:fill="85BA41"/>
          </w:tcPr>
          <w:p w14:paraId="69F66825" w14:textId="77777777" w:rsidR="00F93DE9" w:rsidRPr="002B3D46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Designated Leader</w:t>
            </w:r>
          </w:p>
        </w:tc>
        <w:tc>
          <w:tcPr>
            <w:tcW w:w="2693" w:type="dxa"/>
            <w:shd w:val="clear" w:color="auto" w:fill="85BA41"/>
          </w:tcPr>
          <w:p w14:paraId="2D064B08" w14:textId="77777777" w:rsidR="00F93DE9" w:rsidRPr="002B3D46" w:rsidRDefault="00F93DE9" w:rsidP="004D6334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Check impact by…</w:t>
            </w:r>
          </w:p>
        </w:tc>
      </w:tr>
      <w:tr w:rsidR="00E13893" w:rsidRPr="002B3D46" w14:paraId="204B9E97" w14:textId="77777777" w:rsidTr="001E7F7C">
        <w:trPr>
          <w:trHeight w:val="1817"/>
        </w:trPr>
        <w:tc>
          <w:tcPr>
            <w:tcW w:w="2552" w:type="dxa"/>
          </w:tcPr>
          <w:p w14:paraId="7F7B1F1F" w14:textId="5B2ACB9A" w:rsidR="00E13893" w:rsidRPr="002B3D46" w:rsidRDefault="00E13893" w:rsidP="00E34115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What information </w:t>
            </w:r>
            <w:r w:rsidR="00A55125"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do you have </w:t>
            </w: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for pupils new to school and those starting a new stage? </w:t>
            </w:r>
          </w:p>
        </w:tc>
        <w:tc>
          <w:tcPr>
            <w:tcW w:w="1134" w:type="dxa"/>
          </w:tcPr>
          <w:p w14:paraId="3165EE16" w14:textId="3C2039DD" w:rsidR="00E13893" w:rsidRPr="002B3D46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Sept </w:t>
            </w:r>
          </w:p>
        </w:tc>
        <w:tc>
          <w:tcPr>
            <w:tcW w:w="1701" w:type="dxa"/>
          </w:tcPr>
          <w:p w14:paraId="59DC4E05" w14:textId="739DED31" w:rsidR="00E13893" w:rsidRPr="002B3D46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Admissions data</w:t>
            </w:r>
          </w:p>
        </w:tc>
        <w:tc>
          <w:tcPr>
            <w:tcW w:w="1984" w:type="dxa"/>
          </w:tcPr>
          <w:p w14:paraId="774DC517" w14:textId="52C88EF0" w:rsidR="00E13893" w:rsidRPr="002B3D46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The </w:t>
            </w:r>
            <w:r w:rsidR="00E13893"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need </w:t>
            </w: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for </w:t>
            </w:r>
            <w:r w:rsidR="00E13893"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more academic information </w:t>
            </w:r>
          </w:p>
        </w:tc>
        <w:tc>
          <w:tcPr>
            <w:tcW w:w="3119" w:type="dxa"/>
          </w:tcPr>
          <w:p w14:paraId="6DD9883C" w14:textId="77777777" w:rsidR="00E13893" w:rsidRPr="002B3D46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Ask feeder schools for more information and/or</w:t>
            </w:r>
          </w:p>
          <w:p w14:paraId="09DCDBCE" w14:textId="3CA1AEC7" w:rsidR="00E13893" w:rsidRPr="002B3D46" w:rsidRDefault="00F93DE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t</w:t>
            </w:r>
            <w:r w:rsidR="00E13893"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rial VR testing </w:t>
            </w:r>
          </w:p>
        </w:tc>
        <w:tc>
          <w:tcPr>
            <w:tcW w:w="2126" w:type="dxa"/>
          </w:tcPr>
          <w:p w14:paraId="27C4B6C6" w14:textId="4A5CD989" w:rsidR="00E13893" w:rsidRPr="002B3D46" w:rsidRDefault="002E651E" w:rsidP="00E34115">
            <w:pPr>
              <w:rPr>
                <w:rFonts w:ascii="Open Sans" w:hAnsi="Open Sans" w:cs="Open Sans"/>
                <w:color w:val="85BA41"/>
                <w:sz w:val="22"/>
                <w:szCs w:val="22"/>
                <w:lang w:val="en-GB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  <w:lang w:val="en-GB"/>
              </w:rPr>
              <w:t>Head of Year</w:t>
            </w:r>
          </w:p>
          <w:p w14:paraId="050C46AF" w14:textId="77777777" w:rsidR="00E13893" w:rsidRPr="002B3D46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2E739361" w14:textId="40A4959C" w:rsidR="00E13893" w:rsidRPr="002B3D46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Exams officer/data manager</w:t>
            </w:r>
          </w:p>
        </w:tc>
        <w:tc>
          <w:tcPr>
            <w:tcW w:w="2693" w:type="dxa"/>
          </w:tcPr>
          <w:p w14:paraId="18F4896E" w14:textId="1A487949" w:rsidR="00E13893" w:rsidRPr="002B3D46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Teacher voice 15th January</w:t>
            </w:r>
          </w:p>
          <w:p w14:paraId="4A14F018" w14:textId="28C4977E" w:rsidR="00E13893" w:rsidRPr="002B3D46" w:rsidRDefault="00E13893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 </w:t>
            </w:r>
          </w:p>
        </w:tc>
      </w:tr>
      <w:tr w:rsidR="00E65C4B" w:rsidRPr="002B3D46" w14:paraId="0E394282" w14:textId="77777777" w:rsidTr="001E7F7C">
        <w:trPr>
          <w:trHeight w:val="2151"/>
        </w:trPr>
        <w:tc>
          <w:tcPr>
            <w:tcW w:w="2552" w:type="dxa"/>
          </w:tcPr>
          <w:p w14:paraId="28CE1F93" w14:textId="702E404F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  <w:t xml:space="preserve">How are learning walks conducted during the first four weeks of the term to ensure that students are adjusting well back into school? </w:t>
            </w:r>
          </w:p>
        </w:tc>
        <w:tc>
          <w:tcPr>
            <w:tcW w:w="1134" w:type="dxa"/>
          </w:tcPr>
          <w:p w14:paraId="069E243F" w14:textId="7EC32B0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First month </w:t>
            </w:r>
          </w:p>
        </w:tc>
        <w:tc>
          <w:tcPr>
            <w:tcW w:w="1701" w:type="dxa"/>
          </w:tcPr>
          <w:p w14:paraId="2A8DD927" w14:textId="7777777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Pupil attitudes to learning, punctuality,</w:t>
            </w:r>
          </w:p>
          <w:p w14:paraId="7BE13031" w14:textId="74AA437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engagement, readiness for learning</w:t>
            </w:r>
          </w:p>
        </w:tc>
        <w:tc>
          <w:tcPr>
            <w:tcW w:w="1984" w:type="dxa"/>
          </w:tcPr>
          <w:p w14:paraId="0902C78F" w14:textId="34204626" w:rsidR="00E65C4B" w:rsidRPr="00E65C4B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E65C4B">
              <w:rPr>
                <w:rFonts w:ascii="Open Sans" w:hAnsi="Open Sans" w:cs="Open Sans"/>
                <w:color w:val="85BA41"/>
                <w:sz w:val="22"/>
                <w:szCs w:val="22"/>
              </w:rPr>
              <w:t>Readiness for learning</w:t>
            </w:r>
          </w:p>
        </w:tc>
        <w:tc>
          <w:tcPr>
            <w:tcW w:w="3119" w:type="dxa"/>
          </w:tcPr>
          <w:p w14:paraId="4AAE60E3" w14:textId="66EF2CB5" w:rsidR="00E65C4B" w:rsidRPr="00E65C4B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E65C4B">
              <w:rPr>
                <w:rFonts w:ascii="Open Sans" w:hAnsi="Open Sans" w:cs="Open Sans"/>
                <w:color w:val="85BA41"/>
                <w:sz w:val="22"/>
                <w:szCs w:val="22"/>
                <w:shd w:val="clear" w:color="auto" w:fill="FFFFFF"/>
              </w:rPr>
              <w:t>Develop or maintain shared understanding</w:t>
            </w:r>
            <w:r w:rsidRPr="00E65C4B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1EC7B730" w14:textId="24EC8B77" w:rsidR="00E65C4B" w:rsidRPr="00E65C4B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E65C4B">
              <w:rPr>
                <w:rFonts w:ascii="Open Sans" w:hAnsi="Open Sans" w:cs="Open Sans"/>
                <w:color w:val="85BA41"/>
                <w:sz w:val="22"/>
                <w:szCs w:val="22"/>
                <w:shd w:val="clear" w:color="auto" w:fill="FFFFFF"/>
              </w:rPr>
              <w:t>T+L leads</w:t>
            </w:r>
          </w:p>
        </w:tc>
        <w:tc>
          <w:tcPr>
            <w:tcW w:w="2693" w:type="dxa"/>
          </w:tcPr>
          <w:p w14:paraId="6ECB744B" w14:textId="77777777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color w:val="85BA41"/>
                <w:sz w:val="22"/>
                <w:szCs w:val="22"/>
              </w:rPr>
            </w:pPr>
          </w:p>
        </w:tc>
      </w:tr>
      <w:tr w:rsidR="00E65C4B" w:rsidRPr="002B3D46" w14:paraId="4986A110" w14:textId="77777777" w:rsidTr="001E7F7C">
        <w:tc>
          <w:tcPr>
            <w:tcW w:w="2552" w:type="dxa"/>
          </w:tcPr>
          <w:p w14:paraId="6D74301E" w14:textId="068E79FA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  <w:t>What support is provided to SEND students and their parents during the first term?</w:t>
            </w:r>
          </w:p>
          <w:p w14:paraId="34A8727B" w14:textId="4DAC475F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D3CB73E" w14:textId="7777777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4EA834" w14:textId="7777777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D97B533" w14:textId="7777777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00F24FE" w14:textId="7777777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0AF858" w14:textId="7777777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FE61A2A" w14:textId="77777777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color w:val="85BA41"/>
                <w:sz w:val="22"/>
                <w:szCs w:val="22"/>
              </w:rPr>
            </w:pPr>
          </w:p>
        </w:tc>
      </w:tr>
      <w:tr w:rsidR="00E65C4B" w:rsidRPr="002B3D46" w14:paraId="3095699D" w14:textId="77777777" w:rsidTr="001E7F7C">
        <w:trPr>
          <w:trHeight w:val="1259"/>
        </w:trPr>
        <w:tc>
          <w:tcPr>
            <w:tcW w:w="2552" w:type="dxa"/>
          </w:tcPr>
          <w:p w14:paraId="23636C67" w14:textId="4DA6C58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  <w:lastRenderedPageBreak/>
              <w:t xml:space="preserve">When do review meetings take place to support students with SEND and their current Educational Health Plans? </w:t>
            </w:r>
          </w:p>
          <w:p w14:paraId="0469FECE" w14:textId="7777777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60CF78" w14:textId="45A4C3D4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Sept</w:t>
            </w:r>
          </w:p>
        </w:tc>
        <w:tc>
          <w:tcPr>
            <w:tcW w:w="1701" w:type="dxa"/>
          </w:tcPr>
          <w:p w14:paraId="2A0415FF" w14:textId="09EE8394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Current review plans </w:t>
            </w:r>
          </w:p>
        </w:tc>
        <w:tc>
          <w:tcPr>
            <w:tcW w:w="1984" w:type="dxa"/>
          </w:tcPr>
          <w:p w14:paraId="79CCA496" w14:textId="43ADF90B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Communication of plans with staff</w:t>
            </w:r>
          </w:p>
        </w:tc>
        <w:tc>
          <w:tcPr>
            <w:tcW w:w="3119" w:type="dxa"/>
          </w:tcPr>
          <w:p w14:paraId="3AD2FD3D" w14:textId="6DD9AE7A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Consider means to improve the process</w:t>
            </w:r>
          </w:p>
        </w:tc>
        <w:tc>
          <w:tcPr>
            <w:tcW w:w="2126" w:type="dxa"/>
          </w:tcPr>
          <w:p w14:paraId="4B49D29E" w14:textId="05756234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Head of SEND</w:t>
            </w:r>
          </w:p>
        </w:tc>
        <w:tc>
          <w:tcPr>
            <w:tcW w:w="2693" w:type="dxa"/>
          </w:tcPr>
          <w:p w14:paraId="6A21DFD9" w14:textId="144DEFE8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Half term</w:t>
            </w:r>
          </w:p>
        </w:tc>
      </w:tr>
      <w:tr w:rsidR="00E65C4B" w:rsidRPr="002B3D46" w14:paraId="641B273F" w14:textId="77777777" w:rsidTr="001E7F7C">
        <w:tc>
          <w:tcPr>
            <w:tcW w:w="2552" w:type="dxa"/>
          </w:tcPr>
          <w:p w14:paraId="3D109C4C" w14:textId="7777777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  <w:t>How are you using platforms such as SIMS to monitor student attendance and behaviour?</w:t>
            </w:r>
          </w:p>
          <w:p w14:paraId="100FC07B" w14:textId="11310BE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57D5F2" w14:textId="2825F6BC" w:rsidR="00E65C4B" w:rsidRPr="002B3D46" w:rsidRDefault="00E65C4B" w:rsidP="00E65C4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B3BDC1B" w14:textId="7777777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112A781" w14:textId="73A9FC2A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4495006" w14:textId="7D8EF9D0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74306E9" w14:textId="5D731FEA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16CBCFC" w14:textId="77777777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5985264C" w14:textId="249C2CA6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  <w:tr w:rsidR="00E65C4B" w:rsidRPr="002B3D46" w14:paraId="2F390B98" w14:textId="77777777" w:rsidTr="001E7F7C">
        <w:trPr>
          <w:trHeight w:val="1622"/>
        </w:trPr>
        <w:tc>
          <w:tcPr>
            <w:tcW w:w="2552" w:type="dxa"/>
          </w:tcPr>
          <w:p w14:paraId="25FDD1CD" w14:textId="7777777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 is information about pastoral issues used?</w:t>
            </w: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  <w:t>]</w:t>
            </w:r>
          </w:p>
          <w:p w14:paraId="00BD7C79" w14:textId="621DA286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05CE69B" w14:textId="6FDA95F4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9FD5B9D" w14:textId="7777777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92594DE" w14:textId="2277D399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970D82F" w14:textId="73B1054F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4FE420CA" w14:textId="2FB79466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CAC0B8" w14:textId="492228EA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86C6F74" w14:textId="7777777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66503CCA" w14:textId="3E88686F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  <w:tr w:rsidR="00E65C4B" w:rsidRPr="002B3D46" w14:paraId="3E271831" w14:textId="77777777" w:rsidTr="001E7F7C">
        <w:trPr>
          <w:trHeight w:val="1924"/>
        </w:trPr>
        <w:tc>
          <w:tcPr>
            <w:tcW w:w="2552" w:type="dxa"/>
          </w:tcPr>
          <w:p w14:paraId="22B84EE7" w14:textId="7777777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Is there enough/too much information?</w:t>
            </w:r>
          </w:p>
          <w:p w14:paraId="3A7E8383" w14:textId="286A655E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880265" w14:textId="03EE7A3E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E0291E" w14:textId="7777777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D9BBE4" w14:textId="37B0775E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B219389" w14:textId="61CCFB83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1E393EE" w14:textId="7777777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1F39EDD6" w14:textId="7AF23FDC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5EE1D98" w14:textId="7777777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0C65F2FA" w14:textId="659F7AF5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E65C4B" w:rsidRPr="002B3D46" w14:paraId="1B955E2E" w14:textId="77777777" w:rsidTr="001E7F7C">
        <w:trPr>
          <w:trHeight w:val="1715"/>
        </w:trPr>
        <w:tc>
          <w:tcPr>
            <w:tcW w:w="2552" w:type="dxa"/>
          </w:tcPr>
          <w:p w14:paraId="0B2FB63E" w14:textId="7777777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 do teachers access this data?</w:t>
            </w:r>
          </w:p>
          <w:p w14:paraId="7CD7F28E" w14:textId="558F72FC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811ADD" w14:textId="45F7428F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375BF40" w14:textId="7777777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6B6F3C4" w14:textId="3D9620D1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5259063" w14:textId="2F09D180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58C8354" w14:textId="00059FD0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A96F081" w14:textId="72D0A52F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  <w:tr w:rsidR="00E65C4B" w:rsidRPr="002B3D46" w14:paraId="6E979080" w14:textId="77777777" w:rsidTr="001E7F7C">
        <w:trPr>
          <w:trHeight w:val="1968"/>
        </w:trPr>
        <w:tc>
          <w:tcPr>
            <w:tcW w:w="2552" w:type="dxa"/>
          </w:tcPr>
          <w:p w14:paraId="0095090F" w14:textId="3DA79A9E" w:rsidR="00E65C4B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Do teachers know what to do with the information?</w:t>
            </w:r>
          </w:p>
          <w:p w14:paraId="61E37DBB" w14:textId="7777777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  <w:p w14:paraId="4C4AD1F8" w14:textId="7B3B0B21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65E6F7" w14:textId="39C1330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0E2A06" w14:textId="77777777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1BEB97C" w14:textId="1736E57A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60AB6FF" w14:textId="53B27EFE" w:rsidR="00E65C4B" w:rsidRPr="002B3D46" w:rsidRDefault="00E65C4B" w:rsidP="00E65C4B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795A83B1" w14:textId="0C30B872" w:rsidR="00E65C4B" w:rsidRPr="002B3D46" w:rsidRDefault="00E65C4B" w:rsidP="00E65C4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07B2825" w14:textId="09B1AB4F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2FBFDD3F" w14:textId="50675DD9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E65C4B" w:rsidRPr="002B3D46" w14:paraId="726E2622" w14:textId="77777777" w:rsidTr="001E7F7C">
        <w:trPr>
          <w:trHeight w:val="1968"/>
        </w:trPr>
        <w:tc>
          <w:tcPr>
            <w:tcW w:w="2552" w:type="dxa"/>
          </w:tcPr>
          <w:p w14:paraId="57FD35C2" w14:textId="7777777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2B3D46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 much is documentation of progress last year used?</w:t>
            </w:r>
          </w:p>
          <w:p w14:paraId="478F7DCE" w14:textId="78A253E7" w:rsidR="00E65C4B" w:rsidRPr="002B3D46" w:rsidRDefault="00E65C4B" w:rsidP="00E65C4B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DA12B0" w14:textId="1C388188" w:rsidR="00E65C4B" w:rsidRPr="002B3D46" w:rsidRDefault="00E65C4B" w:rsidP="00E65C4B">
            <w:pPr>
              <w:rPr>
                <w:rFonts w:ascii="Open Sans" w:hAnsi="Open Sans" w:cs="Open Sans"/>
                <w:b/>
                <w:bCs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Sept</w:t>
            </w:r>
          </w:p>
        </w:tc>
        <w:tc>
          <w:tcPr>
            <w:tcW w:w="1701" w:type="dxa"/>
          </w:tcPr>
          <w:p w14:paraId="000F0718" w14:textId="76B3CD7D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Last year’s exam results and end of year reports </w:t>
            </w:r>
          </w:p>
        </w:tc>
        <w:tc>
          <w:tcPr>
            <w:tcW w:w="1984" w:type="dxa"/>
          </w:tcPr>
          <w:p w14:paraId="4B96F0FA" w14:textId="1FAA6017" w:rsidR="00E65C4B" w:rsidRPr="00E65C4B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E65C4B">
              <w:rPr>
                <w:rFonts w:ascii="Open Sans" w:hAnsi="Open Sans" w:cs="Open Sans"/>
                <w:color w:val="85BA41"/>
                <w:sz w:val="22"/>
                <w:szCs w:val="22"/>
                <w:shd w:val="clear" w:color="auto" w:fill="FFFFFF"/>
                <w:lang w:val="en-US"/>
              </w:rPr>
              <w:t>In</w:t>
            </w:r>
            <w:r w:rsidRPr="00E65C4B">
              <w:rPr>
                <w:rFonts w:ascii="Open Sans" w:hAnsi="Open Sans" w:cs="Open Sans"/>
                <w:color w:val="85BA41"/>
                <w:sz w:val="22"/>
                <w:szCs w:val="22"/>
                <w:shd w:val="clear" w:color="auto" w:fill="FFFFFF"/>
              </w:rPr>
              <w:t>creased use</w:t>
            </w:r>
            <w:r w:rsidRPr="00E65C4B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if teacher changes</w:t>
            </w:r>
          </w:p>
        </w:tc>
        <w:tc>
          <w:tcPr>
            <w:tcW w:w="3119" w:type="dxa"/>
          </w:tcPr>
          <w:p w14:paraId="570BD562" w14:textId="08C6F753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Introduce pupils and staff rereading reports from last year</w:t>
            </w:r>
          </w:p>
        </w:tc>
        <w:tc>
          <w:tcPr>
            <w:tcW w:w="2126" w:type="dxa"/>
          </w:tcPr>
          <w:p w14:paraId="7C05FC92" w14:textId="07A3C294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All staff </w:t>
            </w:r>
          </w:p>
        </w:tc>
        <w:tc>
          <w:tcPr>
            <w:tcW w:w="2693" w:type="dxa"/>
          </w:tcPr>
          <w:p w14:paraId="68B48870" w14:textId="77777777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Pupil and teacher voice 15th October </w:t>
            </w:r>
          </w:p>
          <w:p w14:paraId="0CB7636E" w14:textId="40A927AA" w:rsidR="00E65C4B" w:rsidRPr="002B3D46" w:rsidRDefault="00E65C4B" w:rsidP="00E65C4B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</w:tr>
    </w:tbl>
    <w:p w14:paraId="6D3E4EDB" w14:textId="605D8122" w:rsidR="00AE10B9" w:rsidRDefault="00AE10B9" w:rsidP="00D23F86">
      <w:pPr>
        <w:rPr>
          <w:rFonts w:ascii="Open Sans" w:hAnsi="Open Sans" w:cs="Open Sans"/>
          <w:sz w:val="22"/>
          <w:szCs w:val="22"/>
        </w:rPr>
      </w:pPr>
    </w:p>
    <w:p w14:paraId="062F2E54" w14:textId="77777777" w:rsidR="001E7F7C" w:rsidRPr="002B3D46" w:rsidRDefault="001E7F7C" w:rsidP="00D23F86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309"/>
      </w:tblGrid>
      <w:tr w:rsidR="00AE10B9" w:rsidRPr="002B3D46" w14:paraId="67C8285E" w14:textId="77777777" w:rsidTr="001E7F7C">
        <w:tc>
          <w:tcPr>
            <w:tcW w:w="15309" w:type="dxa"/>
            <w:shd w:val="clear" w:color="auto" w:fill="85BA41"/>
          </w:tcPr>
          <w:p w14:paraId="16D0EAB0" w14:textId="77777777" w:rsidR="00AE10B9" w:rsidRPr="001E7F7C" w:rsidRDefault="00AE10B9" w:rsidP="00E34115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1E7F7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Changes in practice?</w:t>
            </w:r>
          </w:p>
        </w:tc>
      </w:tr>
      <w:tr w:rsidR="00AE10B9" w:rsidRPr="002B3D46" w14:paraId="3E52C6F1" w14:textId="77777777" w:rsidTr="001E7F7C">
        <w:trPr>
          <w:trHeight w:val="1956"/>
        </w:trPr>
        <w:tc>
          <w:tcPr>
            <w:tcW w:w="15309" w:type="dxa"/>
          </w:tcPr>
          <w:p w14:paraId="04C19477" w14:textId="77777777" w:rsidR="00AE10B9" w:rsidRPr="002B3D46" w:rsidRDefault="00AE10B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Detail any proposed changes which arise from review here.</w:t>
            </w:r>
          </w:p>
          <w:p w14:paraId="0E99B9F9" w14:textId="79926AE0" w:rsidR="00AE10B9" w:rsidRPr="002B3D46" w:rsidRDefault="00AE10B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Add specific dates for developments </w:t>
            </w:r>
          </w:p>
          <w:p w14:paraId="61D80D8E" w14:textId="280D15CD" w:rsidR="00527F19" w:rsidRPr="002B3D46" w:rsidRDefault="00527F19" w:rsidP="00E34115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2B3D46">
              <w:rPr>
                <w:rFonts w:ascii="Open Sans" w:hAnsi="Open Sans" w:cs="Open Sans"/>
                <w:color w:val="85BA41"/>
                <w:sz w:val="22"/>
                <w:szCs w:val="22"/>
              </w:rPr>
              <w:t>For example, VR testing to be added to admissions process for next September intake.</w:t>
            </w:r>
          </w:p>
          <w:p w14:paraId="3A804898" w14:textId="77777777" w:rsidR="00AE10B9" w:rsidRPr="002B3D46" w:rsidRDefault="00AE10B9" w:rsidP="00E34115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  <w:p w14:paraId="14B6A7DF" w14:textId="77777777" w:rsidR="00AE10B9" w:rsidRPr="002B3D46" w:rsidRDefault="00AE10B9" w:rsidP="00E34115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</w:tbl>
    <w:p w14:paraId="7F0B6D48" w14:textId="77777777" w:rsidR="001E7F7C" w:rsidRDefault="001E7F7C" w:rsidP="002751FF">
      <w:pPr>
        <w:rPr>
          <w:rFonts w:ascii="Open Sans" w:hAnsi="Open Sans" w:cs="Open Sans"/>
          <w:sz w:val="22"/>
          <w:szCs w:val="22"/>
        </w:rPr>
      </w:pPr>
    </w:p>
    <w:p w14:paraId="50E0F5AB" w14:textId="77777777" w:rsidR="001E7F7C" w:rsidRDefault="001E7F7C" w:rsidP="002751FF">
      <w:pPr>
        <w:rPr>
          <w:rFonts w:ascii="Open Sans" w:hAnsi="Open Sans" w:cs="Open Sans"/>
          <w:sz w:val="22"/>
          <w:szCs w:val="22"/>
        </w:rPr>
      </w:pPr>
    </w:p>
    <w:p w14:paraId="07E3300F" w14:textId="77777777" w:rsidR="001E7F7C" w:rsidRDefault="001E7F7C" w:rsidP="002751FF">
      <w:pPr>
        <w:rPr>
          <w:rFonts w:ascii="Open Sans" w:hAnsi="Open Sans" w:cs="Open Sans"/>
          <w:sz w:val="22"/>
          <w:szCs w:val="22"/>
        </w:rPr>
      </w:pPr>
    </w:p>
    <w:p w14:paraId="60F98B2F" w14:textId="77777777" w:rsidR="001E7F7C" w:rsidRDefault="001E7F7C" w:rsidP="002751FF">
      <w:pPr>
        <w:rPr>
          <w:rFonts w:ascii="Open Sans" w:hAnsi="Open Sans" w:cs="Open Sans"/>
          <w:sz w:val="22"/>
          <w:szCs w:val="22"/>
        </w:rPr>
      </w:pPr>
    </w:p>
    <w:p w14:paraId="729EC614" w14:textId="31B7530B" w:rsidR="002751FF" w:rsidRPr="002B3D46" w:rsidRDefault="002751FF" w:rsidP="002751FF">
      <w:pPr>
        <w:rPr>
          <w:rFonts w:ascii="Open Sans" w:hAnsi="Open Sans" w:cs="Open Sans"/>
          <w:sz w:val="22"/>
          <w:szCs w:val="22"/>
        </w:rPr>
      </w:pPr>
      <w:r w:rsidRPr="002B3D46">
        <w:rPr>
          <w:rFonts w:ascii="Open Sans" w:hAnsi="Open Sans" w:cs="Open Sans"/>
          <w:sz w:val="22"/>
          <w:szCs w:val="22"/>
        </w:rPr>
        <w:t xml:space="preserve">Review Date: </w:t>
      </w:r>
    </w:p>
    <w:p w14:paraId="5021F197" w14:textId="77777777" w:rsidR="002751FF" w:rsidRPr="002B3D46" w:rsidRDefault="002751FF" w:rsidP="002751FF">
      <w:pPr>
        <w:rPr>
          <w:rFonts w:ascii="Open Sans" w:hAnsi="Open Sans" w:cs="Open Sans"/>
          <w:sz w:val="22"/>
          <w:szCs w:val="22"/>
        </w:rPr>
      </w:pPr>
    </w:p>
    <w:p w14:paraId="3B785BF8" w14:textId="189014D8" w:rsidR="00D958DE" w:rsidRPr="002B3D46" w:rsidRDefault="002751FF">
      <w:pPr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2B3D46">
        <w:rPr>
          <w:rFonts w:ascii="Open Sans" w:hAnsi="Open Sans" w:cs="Open Sans"/>
          <w:b/>
          <w:bCs/>
          <w:i/>
          <w:iCs/>
          <w:sz w:val="22"/>
          <w:szCs w:val="22"/>
        </w:rPr>
        <w:t>We recommend logging the review date electronically and setting reminders in advance.</w:t>
      </w:r>
    </w:p>
    <w:sectPr w:rsidR="00D958DE" w:rsidRPr="002B3D46" w:rsidSect="00F93DE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B5112" w14:textId="77777777" w:rsidR="00214446" w:rsidRDefault="00214446" w:rsidP="001E7F7C">
      <w:r>
        <w:separator/>
      </w:r>
    </w:p>
  </w:endnote>
  <w:endnote w:type="continuationSeparator" w:id="0">
    <w:p w14:paraId="79EFF621" w14:textId="77777777" w:rsidR="00214446" w:rsidRDefault="00214446" w:rsidP="001E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KG Second Chances Sketch">
    <w:altName w:val="Cambria"/>
    <w:panose1 w:val="02000000000000000000"/>
    <w:charset w:val="4D"/>
    <w:family w:val="auto"/>
    <w:pitch w:val="variable"/>
    <w:sig w:usb0="A000002F" w:usb1="00000042" w:usb2="00000000" w:usb3="00000000" w:csb0="00000003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65B8A" w14:textId="309D9825" w:rsidR="001E7F7C" w:rsidRDefault="001E7F7C">
    <w:pPr>
      <w:pStyle w:val="Footer"/>
    </w:pPr>
  </w:p>
  <w:p w14:paraId="3F6FD37E" w14:textId="26735D7E" w:rsidR="001E7F7C" w:rsidRDefault="001E7F7C">
    <w:r w:rsidRPr="001E7F7C">
      <w:rPr>
        <w:noProof/>
      </w:rPr>
      <w:drawing>
        <wp:inline distT="0" distB="0" distL="0" distR="0" wp14:anchorId="32D68404" wp14:editId="55EB02EC">
          <wp:extent cx="9777730" cy="514350"/>
          <wp:effectExtent l="0" t="0" r="127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7773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3169" w14:textId="77777777" w:rsidR="00214446" w:rsidRDefault="00214446" w:rsidP="001E7F7C">
      <w:r>
        <w:separator/>
      </w:r>
    </w:p>
  </w:footnote>
  <w:footnote w:type="continuationSeparator" w:id="0">
    <w:p w14:paraId="4AC26C6E" w14:textId="77777777" w:rsidR="00214446" w:rsidRDefault="00214446" w:rsidP="001E7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A2647"/>
    <w:multiLevelType w:val="multilevel"/>
    <w:tmpl w:val="7ABA9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44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86"/>
    <w:rsid w:val="001E0D8E"/>
    <w:rsid w:val="001E7F7C"/>
    <w:rsid w:val="00214446"/>
    <w:rsid w:val="002751FF"/>
    <w:rsid w:val="002B3D46"/>
    <w:rsid w:val="002E651E"/>
    <w:rsid w:val="003A23D7"/>
    <w:rsid w:val="004D1DB8"/>
    <w:rsid w:val="00512EB9"/>
    <w:rsid w:val="00527F19"/>
    <w:rsid w:val="00575225"/>
    <w:rsid w:val="00590A0E"/>
    <w:rsid w:val="005B7358"/>
    <w:rsid w:val="006468B3"/>
    <w:rsid w:val="00925C4E"/>
    <w:rsid w:val="00A55125"/>
    <w:rsid w:val="00AE10B9"/>
    <w:rsid w:val="00AF3015"/>
    <w:rsid w:val="00B541BD"/>
    <w:rsid w:val="00D23F86"/>
    <w:rsid w:val="00D958DE"/>
    <w:rsid w:val="00DA131A"/>
    <w:rsid w:val="00E13893"/>
    <w:rsid w:val="00E65C4B"/>
    <w:rsid w:val="00F9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968F92"/>
  <w15:chartTrackingRefBased/>
  <w15:docId w15:val="{5A2EBB1A-F57F-294F-8759-6692761B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Y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DE9"/>
  </w:style>
  <w:style w:type="paragraph" w:styleId="Heading1">
    <w:name w:val="heading 1"/>
    <w:basedOn w:val="Normal"/>
    <w:next w:val="Normal"/>
    <w:link w:val="Heading1Char"/>
    <w:uiPriority w:val="9"/>
    <w:qFormat/>
    <w:rsid w:val="00D23F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3F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3F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3F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3F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3F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3F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3F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3F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F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3F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3F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3F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3F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3F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3F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3F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3F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3F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3F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3F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3F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3F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3F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3F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3F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3F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3F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3F8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38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8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8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8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89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E7F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F7C"/>
  </w:style>
  <w:style w:type="paragraph" w:styleId="Footer">
    <w:name w:val="footer"/>
    <w:basedOn w:val="Normal"/>
    <w:link w:val="FooterChar"/>
    <w:uiPriority w:val="99"/>
    <w:unhideWhenUsed/>
    <w:rsid w:val="001E7F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Batters</dc:creator>
  <cp:keywords/>
  <dc:description/>
  <cp:lastModifiedBy>Microsoft Office User</cp:lastModifiedBy>
  <cp:revision>6</cp:revision>
  <dcterms:created xsi:type="dcterms:W3CDTF">2024-09-02T07:25:00Z</dcterms:created>
  <dcterms:modified xsi:type="dcterms:W3CDTF">2024-09-06T05:56:00Z</dcterms:modified>
</cp:coreProperties>
</file>